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5CC2" w14:textId="04B1536A" w:rsidR="00F37B1A" w:rsidRPr="005C0066" w:rsidRDefault="005C0066" w:rsidP="005C0066">
      <w:pPr>
        <w:ind w:left="360"/>
        <w:jc w:val="right"/>
        <w:rPr>
          <w:rFonts w:ascii="Segoe UI" w:hAnsi="Segoe UI" w:cs="Segoe UI"/>
          <w:i/>
          <w:iCs/>
          <w:color w:val="595959" w:themeColor="text1" w:themeTint="A6"/>
          <w:sz w:val="18"/>
          <w:szCs w:val="18"/>
        </w:rPr>
      </w:pPr>
      <w:r w:rsidRPr="005C0066">
        <w:rPr>
          <w:rFonts w:ascii="Segoe UI" w:hAnsi="Segoe UI" w:cs="Segoe UI"/>
          <w:i/>
          <w:iCs/>
          <w:color w:val="595959" w:themeColor="text1" w:themeTint="A6"/>
          <w:sz w:val="18"/>
          <w:szCs w:val="18"/>
        </w:rPr>
        <w:t>Příloha č. 1</w:t>
      </w:r>
    </w:p>
    <w:p w14:paraId="631CD5C1" w14:textId="18BC5F3F" w:rsidR="00AB7583" w:rsidRPr="00F37B1A" w:rsidRDefault="00AB7583" w:rsidP="00F37B1A">
      <w:pPr>
        <w:ind w:left="360"/>
        <w:jc w:val="center"/>
        <w:rPr>
          <w:rFonts w:ascii="Segoe UI" w:hAnsi="Segoe UI" w:cs="Segoe UI"/>
          <w:b/>
          <w:bCs/>
          <w:color w:val="595959" w:themeColor="text1" w:themeTint="A6"/>
          <w:szCs w:val="20"/>
        </w:rPr>
      </w:pPr>
      <w:r w:rsidRPr="00F37B1A">
        <w:rPr>
          <w:rFonts w:ascii="Segoe UI" w:hAnsi="Segoe UI" w:cs="Segoe UI"/>
          <w:b/>
          <w:bCs/>
          <w:color w:val="595959" w:themeColor="text1" w:themeTint="A6"/>
          <w:szCs w:val="20"/>
        </w:rPr>
        <w:t xml:space="preserve">Informace k veřejné </w:t>
      </w:r>
      <w:r w:rsidR="00F37B1A" w:rsidRPr="00F37B1A">
        <w:rPr>
          <w:rFonts w:ascii="Segoe UI" w:hAnsi="Segoe UI" w:cs="Segoe UI"/>
          <w:b/>
          <w:bCs/>
          <w:color w:val="595959" w:themeColor="text1" w:themeTint="A6"/>
          <w:szCs w:val="20"/>
        </w:rPr>
        <w:t>podpoře</w:t>
      </w:r>
      <w:r w:rsidR="00F37B1A">
        <w:rPr>
          <w:rFonts w:ascii="Segoe UI" w:hAnsi="Segoe UI" w:cs="Segoe UI"/>
          <w:b/>
          <w:bCs/>
          <w:color w:val="595959" w:themeColor="text1" w:themeTint="A6"/>
          <w:szCs w:val="20"/>
        </w:rPr>
        <w:t xml:space="preserve"> – udržitelná</w:t>
      </w:r>
      <w:r w:rsidR="00F37B1A" w:rsidRPr="00F37B1A">
        <w:rPr>
          <w:rFonts w:ascii="Segoe UI" w:hAnsi="Segoe UI" w:cs="Segoe UI"/>
          <w:b/>
          <w:bCs/>
          <w:color w:val="595959" w:themeColor="text1" w:themeTint="A6"/>
          <w:szCs w:val="20"/>
        </w:rPr>
        <w:t xml:space="preserve"> městská doprava a mobilita</w:t>
      </w:r>
    </w:p>
    <w:p w14:paraId="420CC2D2" w14:textId="77777777" w:rsidR="003F0706" w:rsidRPr="00F37B1A" w:rsidRDefault="003F0706" w:rsidP="004675DC">
      <w:pPr>
        <w:ind w:left="360"/>
        <w:jc w:val="both"/>
        <w:rPr>
          <w:rFonts w:ascii="Segoe UI" w:hAnsi="Segoe UI" w:cs="Segoe UI"/>
          <w:b/>
          <w:bCs/>
          <w:color w:val="595959" w:themeColor="text1" w:themeTint="A6"/>
          <w:szCs w:val="20"/>
        </w:rPr>
      </w:pPr>
    </w:p>
    <w:p w14:paraId="10A7A16B" w14:textId="7816A954" w:rsidR="003F0706" w:rsidRPr="00F37B1A" w:rsidRDefault="003F0706" w:rsidP="004675DC">
      <w:pPr>
        <w:ind w:left="360"/>
        <w:jc w:val="both"/>
        <w:rPr>
          <w:rFonts w:ascii="Segoe UI" w:hAnsi="Segoe UI" w:cs="Segoe UI"/>
          <w:color w:val="595959" w:themeColor="text1" w:themeTint="A6"/>
          <w:sz w:val="20"/>
          <w:szCs w:val="20"/>
        </w:rPr>
      </w:pPr>
      <w:r w:rsidRPr="00F37B1A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Projekty nákupu vozidel pro potřeby výkonu veřejné správy, nebo sloužící k jiným činnostem neekonomického charakteru budou podpořeny mimo rámec veřejné podpory.  V případě, že bude na základě využití vozidla rozhodnuto, že projekt podléhá veřejné podpoře (jeho využití souvisí s ekonomickou činností žadatele), je možné využít níže uvedené předpisy. </w:t>
      </w:r>
    </w:p>
    <w:p w14:paraId="3693A15E" w14:textId="77777777" w:rsidR="00AB7583" w:rsidRPr="00F37B1A" w:rsidRDefault="00AB7583" w:rsidP="004675DC">
      <w:pPr>
        <w:ind w:left="360"/>
        <w:jc w:val="both"/>
        <w:rPr>
          <w:rFonts w:ascii="Segoe UI" w:hAnsi="Segoe UI" w:cs="Segoe UI"/>
          <w:color w:val="595959" w:themeColor="text1" w:themeTint="A6"/>
          <w:szCs w:val="20"/>
        </w:rPr>
      </w:pPr>
    </w:p>
    <w:p w14:paraId="3F7FF7DB" w14:textId="2704ABCF" w:rsidR="00AB7583" w:rsidRPr="00F37B1A" w:rsidRDefault="00AB7583" w:rsidP="004675DC">
      <w:pPr>
        <w:pStyle w:val="Odstavecseseznamem"/>
        <w:numPr>
          <w:ilvl w:val="0"/>
          <w:numId w:val="5"/>
        </w:numPr>
        <w:rPr>
          <w:rFonts w:cs="Segoe UI"/>
          <w:i/>
          <w:color w:val="595959" w:themeColor="text1" w:themeTint="A6"/>
          <w:szCs w:val="20"/>
        </w:rPr>
      </w:pPr>
      <w:r w:rsidRPr="00F37B1A">
        <w:rPr>
          <w:rFonts w:cs="Segoe UI"/>
          <w:i/>
          <w:color w:val="595959" w:themeColor="text1" w:themeTint="A6"/>
          <w:szCs w:val="20"/>
        </w:rPr>
        <w:t xml:space="preserve">Nařízení Komise (EU) č. 651/2014 ze dne 17. června 2014, kterým se v souladu s články 107 a 108 smlouvy </w:t>
      </w:r>
      <w:r w:rsidRPr="00F37B1A">
        <w:rPr>
          <w:rFonts w:cs="Segoe UI"/>
          <w:i/>
          <w:color w:val="595959" w:themeColor="text1" w:themeTint="A6"/>
          <w:szCs w:val="20"/>
          <w:lang w:eastAsia="cs-CZ"/>
        </w:rPr>
        <w:t>prohlašují</w:t>
      </w:r>
      <w:r w:rsidRPr="00F37B1A">
        <w:rPr>
          <w:rFonts w:cs="Segoe UI"/>
          <w:i/>
          <w:color w:val="595959" w:themeColor="text1" w:themeTint="A6"/>
          <w:szCs w:val="20"/>
        </w:rPr>
        <w:t xml:space="preserve"> určité kategorie podpory za slučitelné s vnitřním trhem</w:t>
      </w:r>
      <w:r w:rsidR="0043346A" w:rsidRPr="00F37B1A">
        <w:rPr>
          <w:rFonts w:cs="Segoe UI"/>
          <w:i/>
          <w:color w:val="595959" w:themeColor="text1" w:themeTint="A6"/>
          <w:szCs w:val="20"/>
        </w:rPr>
        <w:t xml:space="preserve">, </w:t>
      </w:r>
      <w:r w:rsidR="0043346A" w:rsidRPr="00F37B1A">
        <w:rPr>
          <w:rFonts w:cs="Segoe UI"/>
          <w:b/>
          <w:i/>
          <w:color w:val="595959" w:themeColor="text1" w:themeTint="A6"/>
          <w:szCs w:val="20"/>
        </w:rPr>
        <w:t>č</w:t>
      </w:r>
      <w:r w:rsidRPr="00F37B1A">
        <w:rPr>
          <w:rFonts w:cs="Segoe UI"/>
          <w:b/>
          <w:i/>
          <w:color w:val="595959" w:themeColor="text1" w:themeTint="A6"/>
          <w:szCs w:val="20"/>
        </w:rPr>
        <w:t>lánek 36</w:t>
      </w:r>
      <w:r w:rsidR="00804040" w:rsidRPr="00F37B1A">
        <w:rPr>
          <w:rFonts w:cs="Segoe UI"/>
          <w:b/>
          <w:i/>
          <w:color w:val="595959" w:themeColor="text1" w:themeTint="A6"/>
          <w:szCs w:val="20"/>
        </w:rPr>
        <w:t xml:space="preserve"> b)</w:t>
      </w:r>
      <w:r w:rsidRPr="00F37B1A">
        <w:rPr>
          <w:rFonts w:cs="Segoe UI"/>
          <w:i/>
          <w:color w:val="595959" w:themeColor="text1" w:themeTint="A6"/>
          <w:szCs w:val="20"/>
        </w:rPr>
        <w:t>.</w:t>
      </w:r>
    </w:p>
    <w:p w14:paraId="216784A5" w14:textId="77777777" w:rsidR="00804040" w:rsidRPr="00F37B1A" w:rsidRDefault="00804040" w:rsidP="00804040">
      <w:pPr>
        <w:pStyle w:val="Odstavecseseznamem"/>
        <w:numPr>
          <w:ilvl w:val="0"/>
          <w:numId w:val="2"/>
        </w:numPr>
        <w:rPr>
          <w:rFonts w:cs="Segoe UI"/>
          <w:color w:val="595959" w:themeColor="text1" w:themeTint="A6"/>
          <w:szCs w:val="20"/>
        </w:rPr>
      </w:pPr>
      <w:r w:rsidRPr="00F37B1A">
        <w:rPr>
          <w:rFonts w:cs="Segoe UI"/>
          <w:color w:val="595959" w:themeColor="text1" w:themeTint="A6"/>
          <w:szCs w:val="20"/>
        </w:rPr>
        <w:t>Podporu lze poskytnout do maximální intenzity stanovené výzvou</w:t>
      </w:r>
    </w:p>
    <w:p w14:paraId="0DE004FC" w14:textId="60626BFD" w:rsidR="00F76237" w:rsidRPr="00F37B1A" w:rsidRDefault="00F76237" w:rsidP="004236E5">
      <w:pPr>
        <w:pStyle w:val="Odstavecseseznamem"/>
        <w:numPr>
          <w:ilvl w:val="0"/>
          <w:numId w:val="2"/>
        </w:numPr>
        <w:rPr>
          <w:rFonts w:cs="Segoe UI"/>
          <w:color w:val="595959" w:themeColor="text1" w:themeTint="A6"/>
          <w:szCs w:val="20"/>
        </w:rPr>
      </w:pPr>
      <w:r w:rsidRPr="00F37B1A">
        <w:rPr>
          <w:rFonts w:cs="Segoe UI"/>
          <w:color w:val="595959" w:themeColor="text1" w:themeTint="A6"/>
          <w:szCs w:val="20"/>
        </w:rPr>
        <w:t>Pro stanovení způsobilých výdajů</w:t>
      </w:r>
      <w:r w:rsidR="0043346A" w:rsidRPr="00F37B1A">
        <w:rPr>
          <w:rFonts w:cs="Segoe UI"/>
          <w:color w:val="595959" w:themeColor="text1" w:themeTint="A6"/>
          <w:szCs w:val="20"/>
        </w:rPr>
        <w:t xml:space="preserve"> </w:t>
      </w:r>
      <w:r w:rsidRPr="00F37B1A">
        <w:rPr>
          <w:rFonts w:cs="Segoe UI"/>
          <w:color w:val="595959" w:themeColor="text1" w:themeTint="A6"/>
          <w:szCs w:val="20"/>
        </w:rPr>
        <w:t xml:space="preserve">je nezbytné definovat </w:t>
      </w:r>
      <w:r w:rsidR="004236E5" w:rsidRPr="00F37B1A">
        <w:rPr>
          <w:rFonts w:cs="Segoe UI"/>
          <w:color w:val="595959" w:themeColor="text1" w:themeTint="A6"/>
          <w:szCs w:val="20"/>
        </w:rPr>
        <w:t xml:space="preserve">tzv. </w:t>
      </w:r>
      <w:r w:rsidRPr="00F37B1A">
        <w:rPr>
          <w:rFonts w:cs="Segoe UI"/>
          <w:b/>
          <w:color w:val="595959" w:themeColor="text1" w:themeTint="A6"/>
          <w:szCs w:val="20"/>
        </w:rPr>
        <w:t>alternativní investici</w:t>
      </w:r>
      <w:r w:rsidR="004236E5" w:rsidRPr="00F37B1A">
        <w:rPr>
          <w:rFonts w:cs="Segoe UI"/>
          <w:color w:val="595959" w:themeColor="text1" w:themeTint="A6"/>
          <w:szCs w:val="20"/>
        </w:rPr>
        <w:t xml:space="preserve">: </w:t>
      </w:r>
    </w:p>
    <w:p w14:paraId="26591F07" w14:textId="5E28ED58" w:rsidR="00060414" w:rsidRPr="00F37B1A" w:rsidRDefault="00CD7DC0" w:rsidP="004675DC">
      <w:pPr>
        <w:ind w:left="708"/>
        <w:jc w:val="both"/>
        <w:rPr>
          <w:rFonts w:ascii="Segoe UI" w:hAnsi="Segoe UI" w:cs="Segoe UI"/>
          <w:i/>
          <w:color w:val="595959" w:themeColor="text1" w:themeTint="A6"/>
          <w:szCs w:val="20"/>
        </w:rPr>
      </w:pPr>
      <w:r w:rsidRPr="00F37B1A">
        <w:rPr>
          <w:rFonts w:ascii="Segoe UI" w:hAnsi="Segoe UI" w:cs="Segoe UI"/>
          <w:b/>
          <w:i/>
          <w:color w:val="595959" w:themeColor="text1" w:themeTint="A6"/>
          <w:szCs w:val="20"/>
        </w:rPr>
        <w:t>A</w:t>
      </w:r>
      <w:r w:rsidR="00F76237" w:rsidRPr="00F37B1A">
        <w:rPr>
          <w:rFonts w:ascii="Segoe UI" w:hAnsi="Segoe UI" w:cs="Segoe UI"/>
          <w:b/>
          <w:i/>
          <w:color w:val="595959" w:themeColor="text1" w:themeTint="A6"/>
          <w:szCs w:val="20"/>
        </w:rPr>
        <w:t>lternativní investice</w:t>
      </w:r>
      <w:r w:rsidR="00F76237" w:rsidRPr="00F37B1A">
        <w:rPr>
          <w:rFonts w:ascii="Segoe UI" w:hAnsi="Segoe UI" w:cs="Segoe UI"/>
          <w:i/>
          <w:color w:val="595959" w:themeColor="text1" w:themeTint="A6"/>
          <w:szCs w:val="20"/>
        </w:rPr>
        <w:t xml:space="preserve"> představuje náklady na vozidlo/stroj stejn</w:t>
      </w:r>
      <w:r w:rsidRPr="00F37B1A">
        <w:rPr>
          <w:rFonts w:ascii="Segoe UI" w:hAnsi="Segoe UI" w:cs="Segoe UI"/>
          <w:i/>
          <w:color w:val="595959" w:themeColor="text1" w:themeTint="A6"/>
          <w:szCs w:val="20"/>
        </w:rPr>
        <w:t>ého typu</w:t>
      </w:r>
      <w:r w:rsidR="004A08CA" w:rsidRPr="00F37B1A">
        <w:rPr>
          <w:rFonts w:ascii="Segoe UI" w:hAnsi="Segoe UI" w:cs="Segoe UI"/>
          <w:i/>
          <w:color w:val="595959" w:themeColor="text1" w:themeTint="A6"/>
          <w:szCs w:val="20"/>
        </w:rPr>
        <w:t xml:space="preserve"> </w:t>
      </w:r>
      <w:r w:rsidR="00F76237" w:rsidRPr="00F37B1A">
        <w:rPr>
          <w:rFonts w:ascii="Segoe UI" w:hAnsi="Segoe UI" w:cs="Segoe UI"/>
          <w:i/>
          <w:color w:val="595959" w:themeColor="text1" w:themeTint="A6"/>
          <w:szCs w:val="20"/>
        </w:rPr>
        <w:t>na konvenční pohon, v souladu s aktuálně platnou normou. Prokazuje se nabídkou dodavatele</w:t>
      </w:r>
      <w:r w:rsidR="0043346A" w:rsidRPr="00F37B1A">
        <w:rPr>
          <w:rFonts w:ascii="Segoe UI" w:hAnsi="Segoe UI" w:cs="Segoe UI"/>
          <w:i/>
          <w:color w:val="595959" w:themeColor="text1" w:themeTint="A6"/>
          <w:szCs w:val="20"/>
        </w:rPr>
        <w:t xml:space="preserve">/prodejce </w:t>
      </w:r>
      <w:r w:rsidR="00F76237" w:rsidRPr="00F37B1A">
        <w:rPr>
          <w:rFonts w:ascii="Segoe UI" w:hAnsi="Segoe UI" w:cs="Segoe UI"/>
          <w:i/>
          <w:color w:val="595959" w:themeColor="text1" w:themeTint="A6"/>
          <w:szCs w:val="20"/>
        </w:rPr>
        <w:t>(ne starší tří měsíců</w:t>
      </w:r>
      <w:r w:rsidR="004A08CA" w:rsidRPr="00F37B1A">
        <w:rPr>
          <w:rFonts w:ascii="Segoe UI" w:hAnsi="Segoe UI" w:cs="Segoe UI"/>
          <w:i/>
          <w:color w:val="595959" w:themeColor="text1" w:themeTint="A6"/>
          <w:szCs w:val="20"/>
        </w:rPr>
        <w:t xml:space="preserve"> od podání žádosti o podporu</w:t>
      </w:r>
      <w:r w:rsidR="00F76237" w:rsidRPr="00F37B1A">
        <w:rPr>
          <w:rFonts w:ascii="Segoe UI" w:hAnsi="Segoe UI" w:cs="Segoe UI"/>
          <w:i/>
          <w:color w:val="595959" w:themeColor="text1" w:themeTint="A6"/>
          <w:szCs w:val="20"/>
        </w:rPr>
        <w:t>)</w:t>
      </w:r>
      <w:r w:rsidR="004236E5" w:rsidRPr="00F37B1A">
        <w:rPr>
          <w:rFonts w:ascii="Segoe UI" w:hAnsi="Segoe UI" w:cs="Segoe UI"/>
          <w:i/>
          <w:color w:val="595959" w:themeColor="text1" w:themeTint="A6"/>
          <w:szCs w:val="20"/>
        </w:rPr>
        <w:t xml:space="preserve">. </w:t>
      </w:r>
    </w:p>
    <w:p w14:paraId="63262A13" w14:textId="3F5272C8" w:rsidR="00060414" w:rsidRPr="00F37B1A" w:rsidRDefault="00060414" w:rsidP="004675DC">
      <w:pPr>
        <w:ind w:left="708"/>
        <w:jc w:val="both"/>
        <w:rPr>
          <w:rFonts w:ascii="Segoe UI" w:hAnsi="Segoe UI" w:cs="Segoe UI"/>
          <w:bCs/>
          <w:i/>
          <w:color w:val="595959" w:themeColor="text1" w:themeTint="A6"/>
          <w:szCs w:val="20"/>
        </w:rPr>
      </w:pPr>
      <w:r w:rsidRPr="00F37B1A">
        <w:rPr>
          <w:rFonts w:ascii="Segoe UI" w:hAnsi="Segoe UI" w:cs="Segoe UI"/>
          <w:bCs/>
          <w:i/>
          <w:color w:val="595959" w:themeColor="text1" w:themeTint="A6"/>
          <w:szCs w:val="20"/>
        </w:rPr>
        <w:t>Maximální intenzita podpory pro článek 36 je následující</w:t>
      </w:r>
      <w:r w:rsidR="00F37B1A">
        <w:rPr>
          <w:rFonts w:ascii="Segoe UI" w:hAnsi="Segoe UI" w:cs="Segoe UI"/>
          <w:bCs/>
          <w:i/>
          <w:color w:val="595959" w:themeColor="text1" w:themeTint="A6"/>
          <w:szCs w:val="20"/>
        </w:rPr>
        <w:t xml:space="preserve">: </w:t>
      </w:r>
    </w:p>
    <w:tbl>
      <w:tblPr>
        <w:tblW w:w="86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6662"/>
      </w:tblGrid>
      <w:tr w:rsidR="00F37B1A" w:rsidRPr="00F37B1A" w14:paraId="271629EA" w14:textId="77777777" w:rsidTr="00F37B1A">
        <w:trPr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34E89" w14:textId="77777777" w:rsidR="00804040" w:rsidRPr="00F37B1A" w:rsidRDefault="00804040">
            <w:pP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F37B1A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Předpis/článek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8B969" w14:textId="417DFC4F" w:rsidR="00804040" w:rsidRPr="00F37B1A" w:rsidRDefault="00804040">
            <w:pP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F37B1A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Max VP </w:t>
            </w:r>
          </w:p>
        </w:tc>
      </w:tr>
      <w:tr w:rsidR="00F37B1A" w:rsidRPr="00F37B1A" w14:paraId="15A005F9" w14:textId="77777777" w:rsidTr="00F37B1A">
        <w:trPr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2C62F" w14:textId="3653A216" w:rsidR="00804040" w:rsidRPr="00F37B1A" w:rsidRDefault="00804040">
            <w:pP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F37B1A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GBER 36 b)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AEC77" w14:textId="77777777" w:rsidR="00804040" w:rsidRPr="00F37B1A" w:rsidRDefault="00804040">
            <w:pP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F37B1A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20 % pro čistá vozidla (SP + 20 %, MP + 30 %)</w:t>
            </w:r>
          </w:p>
          <w:p w14:paraId="3A89BA30" w14:textId="379D0116" w:rsidR="00804040" w:rsidRPr="00F37B1A" w:rsidRDefault="00804040">
            <w:pP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F37B1A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30 % pro vozidla s nulovými emisemi (SP + 20 %, MP + 30 </w:t>
            </w:r>
          </w:p>
        </w:tc>
      </w:tr>
    </w:tbl>
    <w:p w14:paraId="5C1FC7FA" w14:textId="64F70EBA" w:rsidR="00060414" w:rsidRPr="00F37B1A" w:rsidRDefault="00060414" w:rsidP="00804040">
      <w:pPr>
        <w:pStyle w:val="Textpoznpodarou"/>
        <w:rPr>
          <w:rFonts w:ascii="Segoe UI" w:hAnsi="Segoe UI" w:cs="Segoe UI"/>
          <w:color w:val="595959" w:themeColor="text1" w:themeTint="A6"/>
        </w:rPr>
      </w:pPr>
    </w:p>
    <w:p w14:paraId="50BB67FC" w14:textId="317D1345" w:rsidR="0043346A" w:rsidRPr="00F37B1A" w:rsidRDefault="00CB3BB0" w:rsidP="004675DC">
      <w:pPr>
        <w:ind w:left="708"/>
        <w:jc w:val="both"/>
        <w:rPr>
          <w:rFonts w:ascii="Segoe UI" w:hAnsi="Segoe UI" w:cs="Segoe UI"/>
          <w:i/>
          <w:color w:val="595959" w:themeColor="text1" w:themeTint="A6"/>
          <w:szCs w:val="20"/>
        </w:rPr>
      </w:pPr>
      <w:r w:rsidRPr="00F37B1A">
        <w:rPr>
          <w:rFonts w:ascii="Segoe UI" w:hAnsi="Segoe UI" w:cs="Segoe UI"/>
          <w:i/>
          <w:color w:val="595959" w:themeColor="text1" w:themeTint="A6"/>
          <w:szCs w:val="20"/>
        </w:rPr>
        <w:t xml:space="preserve"> </w:t>
      </w:r>
    </w:p>
    <w:p w14:paraId="2356C3B3" w14:textId="30D2928A" w:rsidR="004675DC" w:rsidRPr="00F37B1A" w:rsidRDefault="004675DC" w:rsidP="004675DC">
      <w:pPr>
        <w:pStyle w:val="Odstavecseseznamem"/>
        <w:numPr>
          <w:ilvl w:val="0"/>
          <w:numId w:val="5"/>
        </w:numPr>
        <w:rPr>
          <w:rFonts w:cs="Segoe UI"/>
          <w:i/>
          <w:color w:val="595959" w:themeColor="text1" w:themeTint="A6"/>
          <w:szCs w:val="20"/>
        </w:rPr>
      </w:pPr>
      <w:r w:rsidRPr="00F37B1A">
        <w:rPr>
          <w:rFonts w:cs="Segoe UI"/>
          <w:i/>
          <w:color w:val="595959" w:themeColor="text1" w:themeTint="A6"/>
          <w:szCs w:val="20"/>
        </w:rPr>
        <w:t xml:space="preserve">Nařízení Komise (EU) č. 651/2014 ze dne 17. června 2014, kterým se v souladu s články 107 a 108 smlouvy </w:t>
      </w:r>
      <w:r w:rsidRPr="00F37B1A">
        <w:rPr>
          <w:rFonts w:cs="Segoe UI"/>
          <w:i/>
          <w:color w:val="595959" w:themeColor="text1" w:themeTint="A6"/>
          <w:szCs w:val="20"/>
          <w:lang w:eastAsia="cs-CZ"/>
        </w:rPr>
        <w:t>prohlašují</w:t>
      </w:r>
      <w:r w:rsidRPr="00F37B1A">
        <w:rPr>
          <w:rFonts w:cs="Segoe UI"/>
          <w:i/>
          <w:color w:val="595959" w:themeColor="text1" w:themeTint="A6"/>
          <w:szCs w:val="20"/>
        </w:rPr>
        <w:t xml:space="preserve"> určité kategorie podpory za slučitelné s vnitřním trhem, </w:t>
      </w:r>
      <w:r w:rsidRPr="00F37B1A">
        <w:rPr>
          <w:rFonts w:cs="Segoe UI"/>
          <w:b/>
          <w:i/>
          <w:color w:val="595959" w:themeColor="text1" w:themeTint="A6"/>
          <w:szCs w:val="20"/>
        </w:rPr>
        <w:t>článek 53</w:t>
      </w:r>
      <w:r w:rsidR="00804040" w:rsidRPr="00F37B1A">
        <w:rPr>
          <w:rFonts w:cs="Segoe UI"/>
          <w:b/>
          <w:i/>
          <w:color w:val="595959" w:themeColor="text1" w:themeTint="A6"/>
          <w:szCs w:val="20"/>
        </w:rPr>
        <w:t xml:space="preserve"> a 55</w:t>
      </w:r>
      <w:r w:rsidRPr="00F37B1A">
        <w:rPr>
          <w:rFonts w:cs="Segoe UI"/>
          <w:i/>
          <w:color w:val="595959" w:themeColor="text1" w:themeTint="A6"/>
          <w:szCs w:val="20"/>
        </w:rPr>
        <w:t>.</w:t>
      </w:r>
    </w:p>
    <w:p w14:paraId="1B7A50C5" w14:textId="52A5572A" w:rsidR="00060414" w:rsidRPr="00F37B1A" w:rsidRDefault="00804040" w:rsidP="00060414">
      <w:pPr>
        <w:pStyle w:val="Odstavecseseznamem"/>
        <w:numPr>
          <w:ilvl w:val="0"/>
          <w:numId w:val="2"/>
        </w:numPr>
        <w:rPr>
          <w:rFonts w:cs="Segoe UI"/>
          <w:color w:val="595959" w:themeColor="text1" w:themeTint="A6"/>
          <w:szCs w:val="20"/>
        </w:rPr>
      </w:pPr>
      <w:r w:rsidRPr="00F37B1A">
        <w:rPr>
          <w:rFonts w:cs="Segoe UI"/>
          <w:color w:val="595959" w:themeColor="text1" w:themeTint="A6"/>
          <w:szCs w:val="20"/>
        </w:rPr>
        <w:t>Vhodné pro projekty související s činností kulturních institucí, nebo institucí zabývajících se ochranou přírodního dědictví (článek 53)</w:t>
      </w:r>
    </w:p>
    <w:p w14:paraId="276F86AB" w14:textId="1AFEC75D" w:rsidR="00804040" w:rsidRPr="00F37B1A" w:rsidRDefault="00804040" w:rsidP="00060414">
      <w:pPr>
        <w:pStyle w:val="Odstavecseseznamem"/>
        <w:numPr>
          <w:ilvl w:val="0"/>
          <w:numId w:val="2"/>
        </w:numPr>
        <w:rPr>
          <w:rFonts w:cs="Segoe UI"/>
          <w:color w:val="595959" w:themeColor="text1" w:themeTint="A6"/>
          <w:szCs w:val="20"/>
        </w:rPr>
      </w:pPr>
      <w:r w:rsidRPr="00F37B1A">
        <w:rPr>
          <w:rFonts w:cs="Segoe UI"/>
          <w:color w:val="595959" w:themeColor="text1" w:themeTint="A6"/>
          <w:szCs w:val="20"/>
        </w:rPr>
        <w:t>Vhodné pro projekty související s provozem sportovních infrastruktur (článek 55)</w:t>
      </w:r>
    </w:p>
    <w:p w14:paraId="273AA62F" w14:textId="1929F9AD" w:rsidR="00804040" w:rsidRPr="00F37B1A" w:rsidRDefault="00804040" w:rsidP="00804040">
      <w:pPr>
        <w:pStyle w:val="Odstavecseseznamem"/>
        <w:numPr>
          <w:ilvl w:val="0"/>
          <w:numId w:val="2"/>
        </w:numPr>
        <w:rPr>
          <w:rFonts w:cs="Segoe UI"/>
          <w:color w:val="595959" w:themeColor="text1" w:themeTint="A6"/>
          <w:szCs w:val="20"/>
        </w:rPr>
      </w:pPr>
      <w:r w:rsidRPr="00F37B1A">
        <w:rPr>
          <w:rFonts w:cs="Segoe UI"/>
          <w:color w:val="595959" w:themeColor="text1" w:themeTint="A6"/>
          <w:szCs w:val="20"/>
        </w:rPr>
        <w:t>Podporu lze poskytnout do maximální intenzity stanovené výzvou</w:t>
      </w:r>
    </w:p>
    <w:p w14:paraId="35EFAFD0" w14:textId="77777777" w:rsidR="00F37B1A" w:rsidRDefault="00F37B1A" w:rsidP="00804040">
      <w:pPr>
        <w:ind w:left="720"/>
        <w:rPr>
          <w:rFonts w:ascii="Segoe UI" w:hAnsi="Segoe UI" w:cs="Segoe UI"/>
          <w:bCs/>
          <w:i/>
          <w:color w:val="595959" w:themeColor="text1" w:themeTint="A6"/>
          <w:szCs w:val="20"/>
        </w:rPr>
      </w:pPr>
    </w:p>
    <w:p w14:paraId="62130F63" w14:textId="77777777" w:rsidR="00F37B1A" w:rsidRDefault="00F37B1A" w:rsidP="00804040">
      <w:pPr>
        <w:ind w:left="720"/>
        <w:rPr>
          <w:bCs/>
          <w:i/>
          <w:szCs w:val="20"/>
        </w:rPr>
      </w:pPr>
    </w:p>
    <w:p w14:paraId="59992CD1" w14:textId="77777777" w:rsidR="00F37B1A" w:rsidRDefault="00F37B1A" w:rsidP="00804040">
      <w:pPr>
        <w:ind w:left="720"/>
        <w:rPr>
          <w:bCs/>
          <w:i/>
          <w:szCs w:val="20"/>
        </w:rPr>
      </w:pPr>
    </w:p>
    <w:p w14:paraId="4FA44A58" w14:textId="77777777" w:rsidR="00F37B1A" w:rsidRDefault="00F37B1A" w:rsidP="00804040">
      <w:pPr>
        <w:ind w:left="720"/>
        <w:rPr>
          <w:bCs/>
          <w:i/>
          <w:szCs w:val="20"/>
        </w:rPr>
      </w:pPr>
    </w:p>
    <w:p w14:paraId="58B42016" w14:textId="77777777" w:rsidR="00F37B1A" w:rsidRDefault="00F37B1A" w:rsidP="00804040">
      <w:pPr>
        <w:ind w:left="720"/>
        <w:rPr>
          <w:bCs/>
          <w:i/>
          <w:szCs w:val="20"/>
        </w:rPr>
      </w:pPr>
    </w:p>
    <w:p w14:paraId="5952AE7E" w14:textId="77777777" w:rsidR="00F37B1A" w:rsidRDefault="00F37B1A" w:rsidP="00804040">
      <w:pPr>
        <w:ind w:left="720"/>
        <w:rPr>
          <w:bCs/>
          <w:i/>
          <w:szCs w:val="20"/>
        </w:rPr>
      </w:pPr>
    </w:p>
    <w:p w14:paraId="2E45F23D" w14:textId="77777777" w:rsidR="00F37B1A" w:rsidRDefault="00F37B1A" w:rsidP="00804040">
      <w:pPr>
        <w:ind w:left="720"/>
        <w:rPr>
          <w:bCs/>
          <w:i/>
          <w:szCs w:val="20"/>
        </w:rPr>
      </w:pPr>
    </w:p>
    <w:p w14:paraId="1E34E707" w14:textId="53FD0F6F" w:rsidR="00060414" w:rsidRPr="00F37B1A" w:rsidRDefault="00060414" w:rsidP="00804040">
      <w:pPr>
        <w:ind w:left="720"/>
        <w:rPr>
          <w:rFonts w:ascii="Segoe UI" w:hAnsi="Segoe UI" w:cs="Segoe UI"/>
          <w:bCs/>
          <w:i/>
          <w:color w:val="595959" w:themeColor="text1" w:themeTint="A6"/>
          <w:szCs w:val="20"/>
        </w:rPr>
      </w:pPr>
      <w:r w:rsidRPr="00F37B1A">
        <w:rPr>
          <w:rFonts w:ascii="Segoe UI" w:hAnsi="Segoe UI" w:cs="Segoe UI"/>
          <w:bCs/>
          <w:i/>
          <w:color w:val="595959" w:themeColor="text1" w:themeTint="A6"/>
          <w:szCs w:val="20"/>
        </w:rPr>
        <w:t xml:space="preserve">Maximální intenzita podpory pro článek </w:t>
      </w:r>
      <w:r w:rsidR="00804040" w:rsidRPr="00F37B1A">
        <w:rPr>
          <w:rFonts w:ascii="Segoe UI" w:hAnsi="Segoe UI" w:cs="Segoe UI"/>
          <w:bCs/>
          <w:i/>
          <w:color w:val="595959" w:themeColor="text1" w:themeTint="A6"/>
          <w:szCs w:val="20"/>
        </w:rPr>
        <w:t>53</w:t>
      </w:r>
      <w:r w:rsidRPr="00F37B1A">
        <w:rPr>
          <w:rFonts w:ascii="Segoe UI" w:hAnsi="Segoe UI" w:cs="Segoe UI"/>
          <w:bCs/>
          <w:i/>
          <w:color w:val="595959" w:themeColor="text1" w:themeTint="A6"/>
          <w:szCs w:val="20"/>
        </w:rPr>
        <w:t xml:space="preserve"> je následující</w:t>
      </w:r>
      <w:r w:rsidR="00F37B1A">
        <w:rPr>
          <w:rFonts w:ascii="Segoe UI" w:hAnsi="Segoe UI" w:cs="Segoe UI"/>
          <w:bCs/>
          <w:i/>
          <w:color w:val="595959" w:themeColor="text1" w:themeTint="A6"/>
          <w:szCs w:val="20"/>
        </w:rPr>
        <w:t xml:space="preserve">: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6"/>
      </w:tblGrid>
      <w:tr w:rsidR="00F37B1A" w:rsidRPr="00F37B1A" w14:paraId="731379A6" w14:textId="77777777" w:rsidTr="00F37B1A">
        <w:trPr>
          <w:jc w:val="center"/>
        </w:trPr>
        <w:tc>
          <w:tcPr>
            <w:tcW w:w="2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92A8" w14:textId="77777777" w:rsidR="00804040" w:rsidRPr="00F37B1A" w:rsidRDefault="00804040" w:rsidP="00DB4DF6">
            <w:pP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F37B1A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Předpis/článek</w:t>
            </w:r>
          </w:p>
        </w:tc>
        <w:tc>
          <w:tcPr>
            <w:tcW w:w="6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5118B" w14:textId="0AC9AB8D" w:rsidR="00804040" w:rsidRPr="00F37B1A" w:rsidRDefault="00804040" w:rsidP="00DB4DF6">
            <w:pP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F37B1A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Max VP</w:t>
            </w:r>
            <w:r w:rsidR="00F37B1A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</w:tr>
      <w:tr w:rsidR="00F37B1A" w:rsidRPr="00F37B1A" w14:paraId="2342AD36" w14:textId="77777777" w:rsidTr="00F37B1A">
        <w:trPr>
          <w:jc w:val="center"/>
        </w:trPr>
        <w:tc>
          <w:tcPr>
            <w:tcW w:w="2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EC9F8" w14:textId="2A101322" w:rsidR="00804040" w:rsidRPr="00F37B1A" w:rsidRDefault="00804040" w:rsidP="00DB4DF6">
            <w:pP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F37B1A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GBER 53, 55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701E4" w14:textId="1E232DBA" w:rsidR="00804040" w:rsidRPr="00F37B1A" w:rsidRDefault="00804040" w:rsidP="00DB4DF6">
            <w:pP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F37B1A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Maximum z výzvy – 50 %</w:t>
            </w:r>
          </w:p>
        </w:tc>
      </w:tr>
    </w:tbl>
    <w:p w14:paraId="753BFD97" w14:textId="539A34DC" w:rsidR="00F76237" w:rsidRDefault="00F76237" w:rsidP="004675DC">
      <w:pPr>
        <w:ind w:left="708"/>
        <w:jc w:val="both"/>
        <w:rPr>
          <w:rFonts w:ascii="Segoe UI" w:hAnsi="Segoe UI" w:cs="Segoe UI"/>
          <w:i/>
          <w:color w:val="595959" w:themeColor="text1" w:themeTint="A6"/>
          <w:szCs w:val="20"/>
        </w:rPr>
      </w:pPr>
    </w:p>
    <w:p w14:paraId="6AF951CD" w14:textId="5DEAC08D" w:rsidR="009521DA" w:rsidRPr="00F37B1A" w:rsidRDefault="009521DA" w:rsidP="004675DC">
      <w:pPr>
        <w:pStyle w:val="Odstavecseseznamem"/>
        <w:numPr>
          <w:ilvl w:val="0"/>
          <w:numId w:val="5"/>
        </w:numPr>
        <w:rPr>
          <w:rFonts w:cs="Segoe UI"/>
          <w:color w:val="595959" w:themeColor="text1" w:themeTint="A6"/>
          <w:szCs w:val="20"/>
          <w:lang w:eastAsia="cs-CZ"/>
        </w:rPr>
      </w:pPr>
      <w:r w:rsidRPr="00F37B1A">
        <w:rPr>
          <w:rFonts w:cs="Segoe UI"/>
          <w:i/>
          <w:color w:val="595959" w:themeColor="text1" w:themeTint="A6"/>
          <w:szCs w:val="20"/>
          <w:lang w:eastAsia="cs-CZ"/>
        </w:rPr>
        <w:t>Rozhodnutí komise ze dne 20. prosince 2011 o použití čl. 106 odst. 2 Smlouvy o fungování Evropské unie na státní podporu ve formě vyrovnávací platby za závazek veřejné služby udělené určitým podnikům pověřeným poskytováním služeb obecného hospodářského zájmu (oznámeno pod číslem K (2011) 9380) (Text s významem pro EHP) (2012/21/EU)</w:t>
      </w:r>
      <w:r w:rsidR="0043346A" w:rsidRPr="00F37B1A">
        <w:rPr>
          <w:rFonts w:cs="Segoe UI"/>
          <w:i/>
          <w:color w:val="595959" w:themeColor="text1" w:themeTint="A6"/>
          <w:szCs w:val="20"/>
          <w:lang w:eastAsia="cs-CZ"/>
        </w:rPr>
        <w:t>.</w:t>
      </w:r>
      <w:r w:rsidR="0043346A" w:rsidRPr="00F37B1A">
        <w:rPr>
          <w:rFonts w:cs="Segoe UI"/>
          <w:color w:val="595959" w:themeColor="text1" w:themeTint="A6"/>
          <w:szCs w:val="20"/>
          <w:lang w:eastAsia="cs-CZ"/>
        </w:rPr>
        <w:t xml:space="preserve"> </w:t>
      </w:r>
    </w:p>
    <w:p w14:paraId="669F22C1" w14:textId="4C47E4BB" w:rsidR="00CB3BB0" w:rsidRPr="00F37B1A" w:rsidRDefault="00CB3BB0" w:rsidP="004236E5">
      <w:pPr>
        <w:pStyle w:val="Odstavecseseznamem"/>
        <w:numPr>
          <w:ilvl w:val="0"/>
          <w:numId w:val="3"/>
        </w:numPr>
        <w:rPr>
          <w:rFonts w:cs="Segoe UI"/>
          <w:color w:val="595959" w:themeColor="text1" w:themeTint="A6"/>
          <w:szCs w:val="20"/>
        </w:rPr>
      </w:pPr>
      <w:r w:rsidRPr="00F37B1A">
        <w:rPr>
          <w:rFonts w:cs="Segoe UI"/>
          <w:color w:val="595959" w:themeColor="text1" w:themeTint="A6"/>
          <w:szCs w:val="20"/>
        </w:rPr>
        <w:t xml:space="preserve">Podpora může být poskytnuta pouze subjektům, pověřeným veřejnou službou podle tohoto Nařízení. </w:t>
      </w:r>
    </w:p>
    <w:p w14:paraId="7D1EB066" w14:textId="4259C4E3" w:rsidR="00CB3BB0" w:rsidRPr="00F37B1A" w:rsidRDefault="00CB3BB0" w:rsidP="0043346A">
      <w:pPr>
        <w:pStyle w:val="Odstavecseseznamem"/>
        <w:numPr>
          <w:ilvl w:val="0"/>
          <w:numId w:val="3"/>
        </w:numPr>
        <w:rPr>
          <w:rFonts w:cs="Segoe UI"/>
          <w:color w:val="595959" w:themeColor="text1" w:themeTint="A6"/>
          <w:szCs w:val="20"/>
        </w:rPr>
      </w:pPr>
      <w:r w:rsidRPr="00F37B1A">
        <w:rPr>
          <w:rFonts w:cs="Segoe UI"/>
          <w:color w:val="595959" w:themeColor="text1" w:themeTint="A6"/>
          <w:szCs w:val="20"/>
        </w:rPr>
        <w:t>Žadatel předloží pověřovací akt, jako součást</w:t>
      </w:r>
      <w:r w:rsidR="0043346A" w:rsidRPr="00F37B1A">
        <w:rPr>
          <w:rFonts w:cs="Segoe UI"/>
          <w:color w:val="595959" w:themeColor="text1" w:themeTint="A6"/>
          <w:szCs w:val="20"/>
        </w:rPr>
        <w:t xml:space="preserve"> povinných příloh</w:t>
      </w:r>
      <w:r w:rsidRPr="00F37B1A">
        <w:rPr>
          <w:rFonts w:cs="Segoe UI"/>
          <w:color w:val="595959" w:themeColor="text1" w:themeTint="A6"/>
          <w:szCs w:val="20"/>
        </w:rPr>
        <w:t xml:space="preserve"> žádosti.</w:t>
      </w:r>
    </w:p>
    <w:p w14:paraId="1FBBA4D6" w14:textId="61692823" w:rsidR="00324D38" w:rsidRPr="00F37B1A" w:rsidRDefault="00324D38" w:rsidP="0043346A">
      <w:pPr>
        <w:pStyle w:val="Odstavecseseznamem"/>
        <w:numPr>
          <w:ilvl w:val="0"/>
          <w:numId w:val="3"/>
        </w:numPr>
        <w:rPr>
          <w:rFonts w:cs="Segoe UI"/>
          <w:color w:val="595959" w:themeColor="text1" w:themeTint="A6"/>
          <w:szCs w:val="20"/>
        </w:rPr>
      </w:pPr>
      <w:r w:rsidRPr="00F37B1A">
        <w:rPr>
          <w:rFonts w:cs="Segoe UI"/>
          <w:color w:val="595959" w:themeColor="text1" w:themeTint="A6"/>
          <w:szCs w:val="20"/>
        </w:rPr>
        <w:t>Podporu lze poskytnout do maximální intenzity stanovené výzvou</w:t>
      </w:r>
    </w:p>
    <w:p w14:paraId="37A2E414" w14:textId="7F149F77" w:rsidR="009521DA" w:rsidRPr="00F37B1A" w:rsidRDefault="009521DA" w:rsidP="004675DC">
      <w:pPr>
        <w:ind w:left="360"/>
        <w:jc w:val="both"/>
        <w:rPr>
          <w:rFonts w:ascii="Segoe UI" w:hAnsi="Segoe UI" w:cs="Segoe UI"/>
          <w:color w:val="595959" w:themeColor="text1" w:themeTint="A6"/>
          <w:szCs w:val="20"/>
        </w:rPr>
      </w:pPr>
    </w:p>
    <w:p w14:paraId="55368E04" w14:textId="41D120CD" w:rsidR="009521DA" w:rsidRPr="00F37B1A" w:rsidRDefault="009521DA" w:rsidP="004675DC">
      <w:pPr>
        <w:pStyle w:val="Odstavecseseznamem"/>
        <w:numPr>
          <w:ilvl w:val="0"/>
          <w:numId w:val="5"/>
        </w:numPr>
        <w:rPr>
          <w:rFonts w:cs="Segoe UI"/>
          <w:i/>
          <w:color w:val="595959" w:themeColor="text1" w:themeTint="A6"/>
          <w:szCs w:val="20"/>
        </w:rPr>
      </w:pPr>
      <w:r w:rsidRPr="00F37B1A">
        <w:rPr>
          <w:rFonts w:cs="Segoe UI"/>
          <w:i/>
          <w:color w:val="595959" w:themeColor="text1" w:themeTint="A6"/>
          <w:szCs w:val="20"/>
        </w:rPr>
        <w:t>Nařízení Evropského parlamentu a Rady (ES) č. 1370/2007 ze dne 23. října 2007 o veřejných službách v přepravě cestujících po železnici a silnici a o zrušení nařízení Rady (EHS) č. 1191/69 a č. 1107/70.</w:t>
      </w:r>
    </w:p>
    <w:p w14:paraId="628DA2B1" w14:textId="77777777" w:rsidR="00CB3BB0" w:rsidRPr="00F37B1A" w:rsidRDefault="00CB3BB0" w:rsidP="004236E5">
      <w:pPr>
        <w:pStyle w:val="Odstavecseseznamem"/>
        <w:numPr>
          <w:ilvl w:val="0"/>
          <w:numId w:val="3"/>
        </w:numPr>
        <w:rPr>
          <w:rFonts w:cs="Segoe UI"/>
          <w:color w:val="595959" w:themeColor="text1" w:themeTint="A6"/>
          <w:szCs w:val="20"/>
        </w:rPr>
      </w:pPr>
      <w:r w:rsidRPr="00F37B1A">
        <w:rPr>
          <w:rFonts w:cs="Segoe UI"/>
          <w:color w:val="595959" w:themeColor="text1" w:themeTint="A6"/>
          <w:szCs w:val="20"/>
        </w:rPr>
        <w:t xml:space="preserve">Podpora může být poskytnuta pouze subjektům, pověřeným veřejnou službou podle tohoto Nařízení. </w:t>
      </w:r>
    </w:p>
    <w:p w14:paraId="6EA7441A" w14:textId="58693D9B" w:rsidR="00CB3BB0" w:rsidRPr="00F37B1A" w:rsidRDefault="00CB3BB0" w:rsidP="0043346A">
      <w:pPr>
        <w:pStyle w:val="Odstavecseseznamem"/>
        <w:numPr>
          <w:ilvl w:val="0"/>
          <w:numId w:val="3"/>
        </w:numPr>
        <w:rPr>
          <w:rFonts w:cs="Segoe UI"/>
          <w:color w:val="595959" w:themeColor="text1" w:themeTint="A6"/>
          <w:szCs w:val="20"/>
        </w:rPr>
      </w:pPr>
      <w:r w:rsidRPr="00F37B1A">
        <w:rPr>
          <w:rFonts w:cs="Segoe UI"/>
          <w:color w:val="595959" w:themeColor="text1" w:themeTint="A6"/>
          <w:szCs w:val="20"/>
        </w:rPr>
        <w:t>Žadatel předloží pověřovací akt, jako součást</w:t>
      </w:r>
      <w:r w:rsidR="005F649C" w:rsidRPr="00F37B1A">
        <w:rPr>
          <w:rFonts w:cs="Segoe UI"/>
          <w:color w:val="595959" w:themeColor="text1" w:themeTint="A6"/>
          <w:szCs w:val="20"/>
        </w:rPr>
        <w:t xml:space="preserve"> povinných příloh </w:t>
      </w:r>
      <w:r w:rsidRPr="00F37B1A">
        <w:rPr>
          <w:rFonts w:cs="Segoe UI"/>
          <w:color w:val="595959" w:themeColor="text1" w:themeTint="A6"/>
          <w:szCs w:val="20"/>
        </w:rPr>
        <w:t>žádosti</w:t>
      </w:r>
      <w:r w:rsidR="005F649C" w:rsidRPr="00F37B1A">
        <w:rPr>
          <w:rFonts w:cs="Segoe UI"/>
          <w:color w:val="595959" w:themeColor="text1" w:themeTint="A6"/>
          <w:szCs w:val="20"/>
        </w:rPr>
        <w:t xml:space="preserve"> o podporu. </w:t>
      </w:r>
    </w:p>
    <w:p w14:paraId="7E54270B" w14:textId="77777777" w:rsidR="00324D38" w:rsidRPr="00F37B1A" w:rsidRDefault="00324D38" w:rsidP="00324D38">
      <w:pPr>
        <w:pStyle w:val="Odstavecseseznamem"/>
        <w:numPr>
          <w:ilvl w:val="0"/>
          <w:numId w:val="3"/>
        </w:numPr>
        <w:rPr>
          <w:rFonts w:cs="Segoe UI"/>
          <w:color w:val="595959" w:themeColor="text1" w:themeTint="A6"/>
          <w:szCs w:val="20"/>
        </w:rPr>
      </w:pPr>
      <w:r w:rsidRPr="00F37B1A">
        <w:rPr>
          <w:rFonts w:cs="Segoe UI"/>
          <w:color w:val="595959" w:themeColor="text1" w:themeTint="A6"/>
          <w:szCs w:val="20"/>
        </w:rPr>
        <w:t>Podporu lze poskytnout do maximální intenzity stanovené výzvou</w:t>
      </w:r>
    </w:p>
    <w:p w14:paraId="562C8E85" w14:textId="77777777" w:rsidR="00324D38" w:rsidRPr="00F37B1A" w:rsidRDefault="00324D38" w:rsidP="00804040">
      <w:pPr>
        <w:pStyle w:val="Odstavecseseznamem"/>
        <w:ind w:left="1080"/>
        <w:rPr>
          <w:rFonts w:cs="Segoe UI"/>
          <w:color w:val="595959" w:themeColor="text1" w:themeTint="A6"/>
          <w:szCs w:val="20"/>
        </w:rPr>
      </w:pPr>
    </w:p>
    <w:p w14:paraId="0361C833" w14:textId="488CEA19" w:rsidR="009521DA" w:rsidRPr="00F37B1A" w:rsidRDefault="00804040" w:rsidP="004675DC">
      <w:pPr>
        <w:pStyle w:val="Odstavecseseznamem"/>
        <w:numPr>
          <w:ilvl w:val="0"/>
          <w:numId w:val="5"/>
        </w:numPr>
        <w:rPr>
          <w:rFonts w:cs="Segoe UI"/>
          <w:i/>
          <w:color w:val="595959" w:themeColor="text1" w:themeTint="A6"/>
          <w:szCs w:val="20"/>
        </w:rPr>
      </w:pPr>
      <w:r w:rsidRPr="00F37B1A">
        <w:rPr>
          <w:rFonts w:cs="Segoe UI"/>
          <w:i/>
          <w:color w:val="595959" w:themeColor="text1" w:themeTint="A6"/>
          <w:szCs w:val="20"/>
        </w:rPr>
        <w:t>Nařízení Komise č. 2023/2832 ze dne 13. prosince 2023 o použití článků 107 a 108 Smlouvy o fungování Evropské unie na podporu de minimis udílenou podnikům poskytujícím služby obecného hospodářského zájmu</w:t>
      </w:r>
      <w:r w:rsidR="009521DA" w:rsidRPr="00F37B1A">
        <w:rPr>
          <w:rFonts w:cs="Segoe UI"/>
          <w:i/>
          <w:color w:val="595959" w:themeColor="text1" w:themeTint="A6"/>
          <w:szCs w:val="20"/>
        </w:rPr>
        <w:t>.</w:t>
      </w:r>
    </w:p>
    <w:p w14:paraId="33727EAB" w14:textId="77777777" w:rsidR="00CB3BB0" w:rsidRPr="00F37B1A" w:rsidRDefault="00CB3BB0" w:rsidP="004236E5">
      <w:pPr>
        <w:pStyle w:val="Odstavecseseznamem"/>
        <w:numPr>
          <w:ilvl w:val="0"/>
          <w:numId w:val="3"/>
        </w:numPr>
        <w:rPr>
          <w:rFonts w:cs="Segoe UI"/>
          <w:color w:val="595959" w:themeColor="text1" w:themeTint="A6"/>
          <w:szCs w:val="20"/>
        </w:rPr>
      </w:pPr>
      <w:r w:rsidRPr="00F37B1A">
        <w:rPr>
          <w:rFonts w:cs="Segoe UI"/>
          <w:color w:val="595959" w:themeColor="text1" w:themeTint="A6"/>
          <w:szCs w:val="20"/>
        </w:rPr>
        <w:t xml:space="preserve">Podpora může být poskytnuta pouze subjektům, pověřeným veřejnou službou podle tohoto Nařízení. </w:t>
      </w:r>
    </w:p>
    <w:p w14:paraId="4A7236F8" w14:textId="19684E88" w:rsidR="00CB3BB0" w:rsidRPr="00F37B1A" w:rsidRDefault="00CB3BB0" w:rsidP="0043346A">
      <w:pPr>
        <w:pStyle w:val="Odstavecseseznamem"/>
        <w:numPr>
          <w:ilvl w:val="0"/>
          <w:numId w:val="3"/>
        </w:numPr>
        <w:rPr>
          <w:rFonts w:cs="Segoe UI"/>
          <w:color w:val="595959" w:themeColor="text1" w:themeTint="A6"/>
          <w:szCs w:val="20"/>
        </w:rPr>
      </w:pPr>
      <w:r w:rsidRPr="00F37B1A">
        <w:rPr>
          <w:rFonts w:cs="Segoe UI"/>
          <w:color w:val="595959" w:themeColor="text1" w:themeTint="A6"/>
          <w:szCs w:val="20"/>
        </w:rPr>
        <w:t>Žadatel předloží pověřovací akt, jako součást</w:t>
      </w:r>
      <w:r w:rsidR="005F649C" w:rsidRPr="00F37B1A">
        <w:rPr>
          <w:rFonts w:cs="Segoe UI"/>
          <w:color w:val="595959" w:themeColor="text1" w:themeTint="A6"/>
          <w:szCs w:val="20"/>
        </w:rPr>
        <w:t xml:space="preserve"> povinných příloh </w:t>
      </w:r>
      <w:r w:rsidRPr="00F37B1A">
        <w:rPr>
          <w:rFonts w:cs="Segoe UI"/>
          <w:color w:val="595959" w:themeColor="text1" w:themeTint="A6"/>
          <w:szCs w:val="20"/>
        </w:rPr>
        <w:t>žádosti</w:t>
      </w:r>
      <w:r w:rsidR="005F649C" w:rsidRPr="00F37B1A">
        <w:rPr>
          <w:rFonts w:cs="Segoe UI"/>
          <w:color w:val="595959" w:themeColor="text1" w:themeTint="A6"/>
          <w:szCs w:val="20"/>
        </w:rPr>
        <w:t xml:space="preserve"> o podporu. </w:t>
      </w:r>
    </w:p>
    <w:p w14:paraId="405D1313" w14:textId="19CC1BB0" w:rsidR="00CB3BB0" w:rsidRPr="00F37B1A" w:rsidRDefault="00CB3BB0" w:rsidP="0043346A">
      <w:pPr>
        <w:pStyle w:val="Odstavecseseznamem"/>
        <w:numPr>
          <w:ilvl w:val="0"/>
          <w:numId w:val="3"/>
        </w:numPr>
        <w:rPr>
          <w:rFonts w:cs="Segoe UI"/>
          <w:color w:val="595959" w:themeColor="text1" w:themeTint="A6"/>
          <w:szCs w:val="20"/>
        </w:rPr>
      </w:pPr>
      <w:r w:rsidRPr="00F37B1A">
        <w:rPr>
          <w:rFonts w:cs="Segoe UI"/>
          <w:color w:val="595959" w:themeColor="text1" w:themeTint="A6"/>
          <w:szCs w:val="20"/>
        </w:rPr>
        <w:t>Podporu podle tohoto Nařízení nelze poskytnout subjektům, pověřeným veřejnou službou podle předchozích dvou odrážek z důvodu, že kompenzační platby podle těchto nařízení nelze kombinovat.</w:t>
      </w:r>
    </w:p>
    <w:p w14:paraId="464EEFE7" w14:textId="51998867" w:rsidR="00CB3BB0" w:rsidRPr="00F37B1A" w:rsidRDefault="00CB3BB0" w:rsidP="0043346A">
      <w:pPr>
        <w:pStyle w:val="Odstavecseseznamem"/>
        <w:numPr>
          <w:ilvl w:val="0"/>
          <w:numId w:val="3"/>
        </w:numPr>
        <w:rPr>
          <w:rFonts w:cs="Segoe UI"/>
          <w:color w:val="595959" w:themeColor="text1" w:themeTint="A6"/>
          <w:szCs w:val="20"/>
        </w:rPr>
      </w:pPr>
      <w:r w:rsidRPr="00F37B1A">
        <w:rPr>
          <w:rFonts w:cs="Segoe UI"/>
          <w:color w:val="595959" w:themeColor="text1" w:themeTint="A6"/>
          <w:szCs w:val="20"/>
        </w:rPr>
        <w:t>Žadatel předloží</w:t>
      </w:r>
      <w:r w:rsidR="00CB5C68" w:rsidRPr="00F37B1A">
        <w:rPr>
          <w:rFonts w:cs="Segoe UI"/>
          <w:color w:val="595959" w:themeColor="text1" w:themeTint="A6"/>
          <w:szCs w:val="20"/>
        </w:rPr>
        <w:t xml:space="preserve">, jako součást povinných příloh žádosti o podporu, </w:t>
      </w:r>
      <w:r w:rsidRPr="00F37B1A">
        <w:rPr>
          <w:rFonts w:cs="Segoe UI"/>
          <w:color w:val="595959" w:themeColor="text1" w:themeTint="A6"/>
          <w:szCs w:val="20"/>
        </w:rPr>
        <w:t xml:space="preserve">prohlášení o podporách de minimis dokládající, že má k dispozici dostatečný limit pro čerpání podpory pro </w:t>
      </w:r>
      <w:r w:rsidR="00075DF3" w:rsidRPr="00F37B1A">
        <w:rPr>
          <w:rFonts w:cs="Segoe UI"/>
          <w:color w:val="595959" w:themeColor="text1" w:themeTint="A6"/>
          <w:szCs w:val="20"/>
        </w:rPr>
        <w:t>aktuální žádost</w:t>
      </w:r>
      <w:r w:rsidR="0043346A" w:rsidRPr="00F37B1A">
        <w:rPr>
          <w:rFonts w:cs="Segoe UI"/>
          <w:color w:val="595959" w:themeColor="text1" w:themeTint="A6"/>
          <w:szCs w:val="20"/>
        </w:rPr>
        <w:t xml:space="preserve">. </w:t>
      </w:r>
    </w:p>
    <w:p w14:paraId="01C769E3" w14:textId="05B230CD" w:rsidR="00324D38" w:rsidRDefault="00324D38" w:rsidP="00324D38">
      <w:pPr>
        <w:pStyle w:val="Odstavecseseznamem"/>
        <w:numPr>
          <w:ilvl w:val="0"/>
          <w:numId w:val="3"/>
        </w:numPr>
        <w:rPr>
          <w:rFonts w:cs="Segoe UI"/>
          <w:color w:val="595959" w:themeColor="text1" w:themeTint="A6"/>
          <w:szCs w:val="20"/>
        </w:rPr>
      </w:pPr>
      <w:r w:rsidRPr="00F37B1A">
        <w:rPr>
          <w:rFonts w:cs="Segoe UI"/>
          <w:color w:val="595959" w:themeColor="text1" w:themeTint="A6"/>
          <w:szCs w:val="20"/>
        </w:rPr>
        <w:lastRenderedPageBreak/>
        <w:t>Podporu lze poskytnout do maximální intenzity stanovené výzvou</w:t>
      </w:r>
      <w:r w:rsidR="00804040" w:rsidRPr="00F37B1A">
        <w:rPr>
          <w:rFonts w:cs="Segoe UI"/>
          <w:color w:val="595959" w:themeColor="text1" w:themeTint="A6"/>
          <w:szCs w:val="20"/>
        </w:rPr>
        <w:t xml:space="preserve"> a do výše disponibilního limitu de minimis podle tohoto Nařízení.</w:t>
      </w:r>
    </w:p>
    <w:p w14:paraId="5C64C918" w14:textId="21837AA2" w:rsidR="009521DA" w:rsidRPr="00F37B1A" w:rsidRDefault="009521DA" w:rsidP="00F37B1A">
      <w:pPr>
        <w:jc w:val="both"/>
        <w:rPr>
          <w:rFonts w:ascii="Segoe UI" w:hAnsi="Segoe UI" w:cs="Segoe UI"/>
          <w:color w:val="595959" w:themeColor="text1" w:themeTint="A6"/>
          <w:szCs w:val="20"/>
        </w:rPr>
      </w:pPr>
    </w:p>
    <w:p w14:paraId="4C045551" w14:textId="1D1E6C18" w:rsidR="009521DA" w:rsidRPr="00F37B1A" w:rsidRDefault="00804040" w:rsidP="004675DC">
      <w:pPr>
        <w:pStyle w:val="Odstavecseseznamem"/>
        <w:numPr>
          <w:ilvl w:val="0"/>
          <w:numId w:val="5"/>
        </w:numPr>
        <w:rPr>
          <w:rFonts w:cs="Segoe UI"/>
          <w:color w:val="595959" w:themeColor="text1" w:themeTint="A6"/>
          <w:szCs w:val="20"/>
        </w:rPr>
      </w:pPr>
      <w:r w:rsidRPr="00F37B1A">
        <w:rPr>
          <w:rFonts w:cs="Segoe UI"/>
          <w:color w:val="595959" w:themeColor="text1" w:themeTint="A6"/>
          <w:szCs w:val="20"/>
        </w:rPr>
        <w:t>Nařízení Komise (EU) č. 2023/2831 ze dne 13. prosince 2023 o použití článků 107 a 108 Smlouvy o fungování Evropské unie na podporu de minimis</w:t>
      </w:r>
      <w:r w:rsidR="009521DA" w:rsidRPr="00F37B1A">
        <w:rPr>
          <w:rFonts w:cs="Segoe UI"/>
          <w:color w:val="595959" w:themeColor="text1" w:themeTint="A6"/>
          <w:szCs w:val="20"/>
        </w:rPr>
        <w:t>.</w:t>
      </w:r>
    </w:p>
    <w:p w14:paraId="2D4E2761" w14:textId="1E5ED6AA" w:rsidR="00075DF3" w:rsidRPr="00F37B1A" w:rsidRDefault="00075DF3" w:rsidP="004236E5">
      <w:pPr>
        <w:pStyle w:val="Odstavecseseznamem"/>
        <w:numPr>
          <w:ilvl w:val="0"/>
          <w:numId w:val="3"/>
        </w:numPr>
        <w:rPr>
          <w:rFonts w:cs="Segoe UI"/>
          <w:color w:val="595959" w:themeColor="text1" w:themeTint="A6"/>
          <w:szCs w:val="20"/>
        </w:rPr>
      </w:pPr>
      <w:r w:rsidRPr="00F37B1A">
        <w:rPr>
          <w:rFonts w:cs="Segoe UI"/>
          <w:color w:val="595959" w:themeColor="text1" w:themeTint="A6"/>
          <w:szCs w:val="20"/>
        </w:rPr>
        <w:t>Žadatel předloží prohlášení o podporách de minimis dokládající, že má k dispozici dostatečný limit pro čerpání podpory pro aktuální žádost</w:t>
      </w:r>
      <w:r w:rsidR="0043346A" w:rsidRPr="00F37B1A">
        <w:rPr>
          <w:rFonts w:cs="Segoe UI"/>
          <w:color w:val="595959" w:themeColor="text1" w:themeTint="A6"/>
          <w:szCs w:val="20"/>
        </w:rPr>
        <w:t xml:space="preserve">. </w:t>
      </w:r>
    </w:p>
    <w:p w14:paraId="5258B5E4" w14:textId="576ABC64" w:rsidR="00AB7583" w:rsidRPr="00504E05" w:rsidRDefault="00324D38" w:rsidP="00504E05">
      <w:pPr>
        <w:pStyle w:val="Odstavecseseznamem"/>
        <w:numPr>
          <w:ilvl w:val="0"/>
          <w:numId w:val="3"/>
        </w:numPr>
        <w:rPr>
          <w:rFonts w:cs="Segoe UI"/>
          <w:color w:val="595959" w:themeColor="text1" w:themeTint="A6"/>
          <w:szCs w:val="20"/>
        </w:rPr>
      </w:pPr>
      <w:r w:rsidRPr="00F37B1A">
        <w:rPr>
          <w:rFonts w:cs="Segoe UI"/>
          <w:color w:val="595959" w:themeColor="text1" w:themeTint="A6"/>
          <w:szCs w:val="20"/>
        </w:rPr>
        <w:t>Podporu lze poskytnout do maximální intenzity stanovené výzvou</w:t>
      </w:r>
      <w:r w:rsidR="00804040" w:rsidRPr="00F37B1A">
        <w:rPr>
          <w:rFonts w:cs="Segoe UI"/>
          <w:color w:val="595959" w:themeColor="text1" w:themeTint="A6"/>
          <w:szCs w:val="20"/>
        </w:rPr>
        <w:t xml:space="preserve"> a do výše disponibilního limitu de minimis podle tohoto Nařízení.</w:t>
      </w:r>
    </w:p>
    <w:sectPr w:rsidR="00AB7583" w:rsidRPr="00504E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BD43" w14:textId="77777777" w:rsidR="0066570B" w:rsidRDefault="0066570B" w:rsidP="0043346A">
      <w:pPr>
        <w:spacing w:after="0" w:line="240" w:lineRule="auto"/>
      </w:pPr>
      <w:r>
        <w:separator/>
      </w:r>
    </w:p>
  </w:endnote>
  <w:endnote w:type="continuationSeparator" w:id="0">
    <w:p w14:paraId="00E03F0E" w14:textId="77777777" w:rsidR="0066570B" w:rsidRDefault="0066570B" w:rsidP="00433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4454395"/>
      <w:docPartObj>
        <w:docPartGallery w:val="Page Numbers (Bottom of Page)"/>
        <w:docPartUnique/>
      </w:docPartObj>
    </w:sdtPr>
    <w:sdtEndPr/>
    <w:sdtContent>
      <w:p w14:paraId="79942FAC" w14:textId="77777777" w:rsidR="00CB5C68" w:rsidRDefault="00CB5C68">
        <w:pPr>
          <w:pStyle w:val="Zpat"/>
          <w:jc w:val="right"/>
          <w:rPr>
            <w:rFonts w:ascii="Segoe UI" w:hAnsi="Segoe UI" w:cs="Segoe UI"/>
            <w:color w:val="595959" w:themeColor="text1" w:themeTint="A6"/>
            <w:sz w:val="20"/>
            <w:szCs w:val="20"/>
          </w:rPr>
        </w:pPr>
      </w:p>
      <w:p w14:paraId="7D8B1F3F" w14:textId="6CFD64F0" w:rsidR="00CB5C68" w:rsidRDefault="00CB5C6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5917D9A" w14:textId="77777777" w:rsidR="0061024E" w:rsidRPr="0061024E" w:rsidRDefault="0061024E" w:rsidP="0061024E">
    <w:pPr>
      <w:pStyle w:val="Zpat"/>
      <w:rPr>
        <w:rFonts w:ascii="Segoe UI" w:hAnsi="Segoe UI" w:cs="Segoe UI"/>
        <w:sz w:val="16"/>
        <w:szCs w:val="16"/>
      </w:rPr>
    </w:pPr>
    <w:r w:rsidRPr="0061024E">
      <w:rPr>
        <w:rFonts w:ascii="Segoe UI" w:hAnsi="Segoe UI" w:cs="Segoe UI"/>
        <w:b/>
        <w:bCs/>
        <w:sz w:val="16"/>
        <w:szCs w:val="16"/>
      </w:rPr>
      <w:t>Státní fond životního prostředí ČR</w:t>
    </w:r>
    <w:r w:rsidRPr="0061024E">
      <w:rPr>
        <w:rFonts w:ascii="Segoe UI" w:hAnsi="Segoe UI" w:cs="Segoe UI"/>
        <w:sz w:val="16"/>
        <w:szCs w:val="16"/>
      </w:rPr>
      <w:t>, sídlo: Kaplanova 1931/1, 148 00 Praha 11</w:t>
    </w:r>
  </w:p>
  <w:p w14:paraId="098C3944" w14:textId="77777777" w:rsidR="0061024E" w:rsidRPr="0061024E" w:rsidRDefault="0061024E" w:rsidP="0061024E">
    <w:pPr>
      <w:pStyle w:val="Zpat"/>
      <w:rPr>
        <w:rFonts w:ascii="Segoe UI" w:hAnsi="Segoe UI" w:cs="Segoe UI"/>
        <w:sz w:val="16"/>
        <w:szCs w:val="16"/>
      </w:rPr>
    </w:pPr>
    <w:r w:rsidRPr="0061024E">
      <w:rPr>
        <w:rFonts w:ascii="Segoe UI" w:hAnsi="Segoe UI" w:cs="Segoe UI"/>
        <w:sz w:val="16"/>
        <w:szCs w:val="16"/>
      </w:rPr>
      <w:t>korespondenční a kontaktní adresa: Olbrachtova 2006/9, 140 00 Praha 4, IČ: 00020729</w:t>
    </w:r>
  </w:p>
  <w:p w14:paraId="249A346D" w14:textId="637DA1A5" w:rsidR="0043346A" w:rsidRPr="0061024E" w:rsidRDefault="0061024E" w:rsidP="0061024E">
    <w:pPr>
      <w:pStyle w:val="Zpat"/>
      <w:rPr>
        <w:rFonts w:ascii="Segoe UI" w:hAnsi="Segoe UI" w:cs="Segoe UI"/>
        <w:b/>
        <w:bCs/>
        <w:sz w:val="16"/>
        <w:szCs w:val="16"/>
      </w:rPr>
    </w:pPr>
    <w:r w:rsidRPr="0061024E">
      <w:rPr>
        <w:rFonts w:ascii="Segoe UI" w:hAnsi="Segoe UI" w:cs="Segoe UI"/>
        <w:b/>
        <w:bCs/>
        <w:sz w:val="16"/>
        <w:szCs w:val="16"/>
      </w:rPr>
      <w:t>www.narodniprogramzp.cz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6EB8" w14:textId="77777777" w:rsidR="0066570B" w:rsidRDefault="0066570B" w:rsidP="0043346A">
      <w:pPr>
        <w:spacing w:after="0" w:line="240" w:lineRule="auto"/>
      </w:pPr>
      <w:r>
        <w:separator/>
      </w:r>
    </w:p>
  </w:footnote>
  <w:footnote w:type="continuationSeparator" w:id="0">
    <w:p w14:paraId="15E764E1" w14:textId="77777777" w:rsidR="0066570B" w:rsidRDefault="0066570B" w:rsidP="00433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9DAD" w14:textId="1BD44606" w:rsidR="00F37B1A" w:rsidRDefault="00B03E8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98F03AF" wp14:editId="3E8D308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760720" cy="351790"/>
          <wp:effectExtent l="0" t="0" r="0" b="0"/>
          <wp:wrapTight wrapText="bothSides">
            <wp:wrapPolygon edited="0">
              <wp:start x="0" y="0"/>
              <wp:lineTo x="0" y="19884"/>
              <wp:lineTo x="21500" y="19884"/>
              <wp:lineTo x="2150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64048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3BCD29" w14:textId="77777777" w:rsidR="00BC36BE" w:rsidRDefault="00BC36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036E0"/>
    <w:multiLevelType w:val="hybridMultilevel"/>
    <w:tmpl w:val="DFD8EC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B47B0C"/>
    <w:multiLevelType w:val="hybridMultilevel"/>
    <w:tmpl w:val="C1C8BAA0"/>
    <w:lvl w:ilvl="0" w:tplc="056073C6">
      <w:start w:val="1"/>
      <w:numFmt w:val="upperRoman"/>
      <w:lvlText w:val="%1."/>
      <w:lvlJc w:val="right"/>
      <w:pPr>
        <w:ind w:left="720" w:hanging="360"/>
      </w:pPr>
      <w:rPr>
        <w:b/>
        <w:bCs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85D6F"/>
    <w:multiLevelType w:val="hybridMultilevel"/>
    <w:tmpl w:val="1D8E13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010849"/>
    <w:multiLevelType w:val="hybridMultilevel"/>
    <w:tmpl w:val="20548648"/>
    <w:lvl w:ilvl="0" w:tplc="4C583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967ED"/>
    <w:multiLevelType w:val="hybridMultilevel"/>
    <w:tmpl w:val="28AA57B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4142822">
    <w:abstractNumId w:val="3"/>
  </w:num>
  <w:num w:numId="2" w16cid:durableId="1777675749">
    <w:abstractNumId w:val="4"/>
  </w:num>
  <w:num w:numId="3" w16cid:durableId="1265647095">
    <w:abstractNumId w:val="0"/>
  </w:num>
  <w:num w:numId="4" w16cid:durableId="416168920">
    <w:abstractNumId w:val="2"/>
  </w:num>
  <w:num w:numId="5" w16cid:durableId="314531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583"/>
    <w:rsid w:val="00052C54"/>
    <w:rsid w:val="00060414"/>
    <w:rsid w:val="00075DF3"/>
    <w:rsid w:val="000E6F11"/>
    <w:rsid w:val="0022721E"/>
    <w:rsid w:val="003040FB"/>
    <w:rsid w:val="00324D38"/>
    <w:rsid w:val="00376EDD"/>
    <w:rsid w:val="003F0706"/>
    <w:rsid w:val="004236E5"/>
    <w:rsid w:val="0043346A"/>
    <w:rsid w:val="004675DC"/>
    <w:rsid w:val="004A08CA"/>
    <w:rsid w:val="00504E05"/>
    <w:rsid w:val="0054617F"/>
    <w:rsid w:val="005C0066"/>
    <w:rsid w:val="005F649C"/>
    <w:rsid w:val="005F729B"/>
    <w:rsid w:val="0061024E"/>
    <w:rsid w:val="0066570B"/>
    <w:rsid w:val="007B3B86"/>
    <w:rsid w:val="00804040"/>
    <w:rsid w:val="008C42A8"/>
    <w:rsid w:val="009521DA"/>
    <w:rsid w:val="00965C66"/>
    <w:rsid w:val="00AB7583"/>
    <w:rsid w:val="00B03E88"/>
    <w:rsid w:val="00BC36BE"/>
    <w:rsid w:val="00CB3BB0"/>
    <w:rsid w:val="00CB5C68"/>
    <w:rsid w:val="00CD7DC0"/>
    <w:rsid w:val="00CF3F07"/>
    <w:rsid w:val="00F37B1A"/>
    <w:rsid w:val="00F7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DF52BA"/>
  <w15:chartTrackingRefBased/>
  <w15:docId w15:val="{EE6FB93B-E772-44AC-B92D-8EF86106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Seznam bodů,dd_odrazky,Dot pt,Indicator Text,LISTA,List Paragraph Char Char Char,List Paragraph à moi,List Paragraph1,Listaszerű bekezdés1,Listaszerű bekezdés2,No Spacing1"/>
    <w:basedOn w:val="Normln"/>
    <w:link w:val="OdstavecseseznamemChar"/>
    <w:uiPriority w:val="34"/>
    <w:qFormat/>
    <w:rsid w:val="00AB7583"/>
    <w:pPr>
      <w:spacing w:after="100" w:line="276" w:lineRule="auto"/>
      <w:jc w:val="both"/>
    </w:pPr>
    <w:rPr>
      <w:rFonts w:ascii="Segoe UI" w:hAnsi="Segoe UI"/>
      <w:sz w:val="20"/>
    </w:rPr>
  </w:style>
  <w:style w:type="character" w:customStyle="1" w:styleId="OdstavecseseznamemChar">
    <w:name w:val="Odstavec se seznamem Char"/>
    <w:aliases w:val="Nad Char,Odstavec cíl se seznamem Char,Odstavec se seznamem5 Char,Seznam bodů Char,dd_odrazky Char,Dot pt Char,Indicator Text Char,LISTA Char,List Paragraph Char Char Char Char,List Paragraph à moi Char,List Paragraph1 Char"/>
    <w:link w:val="Odstavecseseznamem"/>
    <w:uiPriority w:val="34"/>
    <w:qFormat/>
    <w:locked/>
    <w:rsid w:val="00AB7583"/>
    <w:rPr>
      <w:rFonts w:ascii="Segoe UI" w:hAnsi="Segoe UI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3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36E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334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34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34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34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346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3346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33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346A"/>
  </w:style>
  <w:style w:type="paragraph" w:styleId="Zpat">
    <w:name w:val="footer"/>
    <w:basedOn w:val="Normln"/>
    <w:link w:val="ZpatChar"/>
    <w:uiPriority w:val="99"/>
    <w:unhideWhenUsed/>
    <w:rsid w:val="00433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346A"/>
  </w:style>
  <w:style w:type="paragraph" w:styleId="Textpoznpodarou">
    <w:name w:val="footnote text"/>
    <w:basedOn w:val="Normln"/>
    <w:link w:val="TextpoznpodarouChar"/>
    <w:uiPriority w:val="99"/>
    <w:unhideWhenUsed/>
    <w:rsid w:val="0006041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60414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604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2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Smolková Veronika</dc:creator>
  <cp:keywords/>
  <dc:description/>
  <cp:lastModifiedBy>320</cp:lastModifiedBy>
  <cp:revision>7</cp:revision>
  <dcterms:created xsi:type="dcterms:W3CDTF">2025-05-14T09:36:00Z</dcterms:created>
  <dcterms:modified xsi:type="dcterms:W3CDTF">2025-05-28T16:54:00Z</dcterms:modified>
</cp:coreProperties>
</file>